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74EB" w:rsidRDefault="00F174EB" w:rsidP="00F174EB">
      <w:pPr>
        <w:pStyle w:val="Default"/>
        <w:jc w:val="center"/>
      </w:pPr>
    </w:p>
    <w:p w:rsidR="00F174EB" w:rsidRDefault="00F174EB" w:rsidP="00F174E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“UNION MONTANA VAL VARACHA</w:t>
      </w:r>
      <w:r>
        <w:rPr>
          <w:b/>
          <w:bCs/>
          <w:sz w:val="32"/>
          <w:szCs w:val="32"/>
        </w:rPr>
        <w:t>”</w:t>
      </w:r>
    </w:p>
    <w:p w:rsidR="00F174EB" w:rsidRDefault="00F174EB" w:rsidP="00F174E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FRAISE (Provincia de Coni</w:t>
      </w:r>
      <w:r>
        <w:rPr>
          <w:b/>
          <w:bCs/>
          <w:sz w:val="32"/>
          <w:szCs w:val="32"/>
        </w:rPr>
        <w:t>)</w:t>
      </w:r>
    </w:p>
    <w:p w:rsidR="00F174EB" w:rsidRDefault="00F174EB" w:rsidP="00F174E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</w:t>
      </w:r>
    </w:p>
    <w:p w:rsidR="00F174EB" w:rsidRDefault="00F174EB" w:rsidP="00F174EB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VERBAL DI DELIBERACION</w:t>
      </w:r>
      <w:r>
        <w:rPr>
          <w:b/>
          <w:bCs/>
          <w:i/>
          <w:iCs/>
          <w:sz w:val="23"/>
          <w:szCs w:val="23"/>
        </w:rPr>
        <w:t xml:space="preserve"> DE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LA </w:t>
      </w:r>
      <w:r>
        <w:rPr>
          <w:b/>
          <w:bCs/>
          <w:i/>
          <w:iCs/>
          <w:sz w:val="23"/>
          <w:szCs w:val="23"/>
        </w:rPr>
        <w:t>JONTA</w:t>
      </w:r>
      <w:r>
        <w:rPr>
          <w:b/>
          <w:bCs/>
          <w:i/>
          <w:iCs/>
          <w:sz w:val="23"/>
          <w:szCs w:val="23"/>
        </w:rPr>
        <w:t xml:space="preserve"> N. 37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sz w:val="23"/>
          <w:szCs w:val="23"/>
        </w:rPr>
        <w:t>______________________________________________________________________</w:t>
      </w:r>
      <w:r w:rsidR="00066DCB">
        <w:rPr>
          <w:b/>
          <w:bCs/>
          <w:sz w:val="23"/>
          <w:szCs w:val="23"/>
        </w:rPr>
        <w:t>17/04/2024</w:t>
      </w:r>
      <w:bookmarkStart w:id="0" w:name="_GoBack"/>
      <w:bookmarkEnd w:id="0"/>
      <w:r>
        <w:rPr>
          <w:b/>
          <w:bCs/>
          <w:sz w:val="23"/>
          <w:szCs w:val="23"/>
        </w:rPr>
        <w:t>____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74EB" w:rsidRPr="00F174EB" w:rsidRDefault="00F174EB" w:rsidP="00F174EB">
      <w:pP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F174EB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Onject</w:t>
      </w:r>
      <w:proofErr w:type="spellEnd"/>
      <w:r w:rsidRPr="00F174EB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 : </w:t>
      </w:r>
      <w:proofErr w:type="spellStart"/>
      <w:r w:rsidRPr="00F174EB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Mantenença</w:t>
      </w:r>
      <w:proofErr w:type="spellEnd"/>
      <w:r w:rsidRPr="00F174EB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dau</w:t>
      </w:r>
      <w:proofErr w:type="spellEnd"/>
      <w:r w:rsidRPr="00F174EB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camin</w:t>
      </w:r>
      <w:proofErr w:type="spellEnd"/>
      <w:r w:rsidRPr="00F174EB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Valle Varaita Trekking - </w:t>
      </w:r>
      <w:proofErr w:type="spellStart"/>
      <w:r w:rsidRPr="00F174EB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aprovacion</w:t>
      </w:r>
      <w:proofErr w:type="spellEnd"/>
      <w:r w:rsidRPr="00F174EB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de la </w:t>
      </w:r>
      <w:proofErr w:type="spellStart"/>
      <w:r w:rsidRPr="00F174EB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convenci</w:t>
      </w:r>
      <w:r w:rsidRPr="00F174EB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on</w:t>
      </w:r>
      <w:proofErr w:type="spellEnd"/>
      <w:r w:rsidRPr="00F174EB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trienni</w:t>
      </w:r>
      <w:proofErr w:type="spellEnd"/>
      <w:r w:rsidRPr="00F174EB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2024/2026 - mesuras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L'an dos mil vint-e-quatre,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dètz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-e-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sèt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mes d'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abriu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las 18:45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Venasca,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sala de las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reünions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aprèp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exauriment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formalitats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prescriptas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per l'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Estatut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l'Union,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foguèron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convocats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per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uèi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los membres d'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aquela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Junta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74EB">
        <w:rPr>
          <w:rFonts w:ascii="Times New Roman" w:hAnsi="Times New Roman" w:cs="Times New Roman"/>
          <w:color w:val="000000"/>
          <w:sz w:val="24"/>
          <w:szCs w:val="24"/>
        </w:rPr>
        <w:t>A l'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apèl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resultan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F174EB" w:rsidRDefault="00F174EB" w:rsidP="00F174EB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48"/>
        <w:gridCol w:w="683"/>
        <w:gridCol w:w="1365"/>
        <w:gridCol w:w="1366"/>
        <w:gridCol w:w="682"/>
        <w:gridCol w:w="2049"/>
      </w:tblGrid>
      <w:tr w:rsidR="00F174EB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048" w:type="dxa"/>
          </w:tcPr>
          <w:p w:rsidR="00F174EB" w:rsidRDefault="00F174EB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Conhome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e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nom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8" w:type="dxa"/>
            <w:gridSpan w:val="2"/>
          </w:tcPr>
          <w:p w:rsidR="00F174EB" w:rsidRDefault="00F174E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Charja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8" w:type="dxa"/>
            <w:gridSpan w:val="2"/>
          </w:tcPr>
          <w:p w:rsidR="00F174EB" w:rsidRDefault="00F174E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Present</w:t>
            </w:r>
            <w:proofErr w:type="spellEnd"/>
          </w:p>
        </w:tc>
        <w:tc>
          <w:tcPr>
            <w:tcW w:w="2048" w:type="dxa"/>
          </w:tcPr>
          <w:p w:rsidR="00F174EB" w:rsidRDefault="00F174EB" w:rsidP="00F174E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Absent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F174E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048" w:type="dxa"/>
          </w:tcPr>
          <w:p w:rsidR="00F174EB" w:rsidRDefault="00F174EB">
            <w:pPr>
              <w:pStyle w:val="Default"/>
              <w:rPr>
                <w:color w:val="auto"/>
              </w:rPr>
            </w:pPr>
          </w:p>
          <w:p w:rsidR="00F174EB" w:rsidRDefault="00F174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F174EB" w:rsidRDefault="00F174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48" w:type="dxa"/>
            <w:gridSpan w:val="2"/>
          </w:tcPr>
          <w:p w:rsidR="00F174EB" w:rsidRDefault="00F174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DOVETTA Silvano </w:t>
            </w:r>
          </w:p>
        </w:tc>
        <w:tc>
          <w:tcPr>
            <w:tcW w:w="2048" w:type="dxa"/>
            <w:gridSpan w:val="2"/>
          </w:tcPr>
          <w:p w:rsidR="00F174EB" w:rsidRDefault="00F174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Presidente </w:t>
            </w:r>
          </w:p>
        </w:tc>
        <w:tc>
          <w:tcPr>
            <w:tcW w:w="2048" w:type="dxa"/>
          </w:tcPr>
          <w:p w:rsidR="00F174EB" w:rsidRDefault="00F174EB">
            <w:pPr>
              <w:pStyle w:val="Default"/>
            </w:pPr>
            <w:r>
              <w:t xml:space="preserve">X </w:t>
            </w:r>
          </w:p>
        </w:tc>
      </w:tr>
      <w:tr w:rsidR="00F174E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048" w:type="dxa"/>
          </w:tcPr>
          <w:p w:rsidR="00F174EB" w:rsidRDefault="00F174EB">
            <w:pPr>
              <w:pStyle w:val="Default"/>
              <w:rPr>
                <w:color w:val="auto"/>
              </w:rPr>
            </w:pPr>
          </w:p>
          <w:p w:rsidR="00F174EB" w:rsidRDefault="00F174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  <w:p w:rsidR="00F174EB" w:rsidRDefault="00F174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48" w:type="dxa"/>
            <w:gridSpan w:val="2"/>
          </w:tcPr>
          <w:p w:rsidR="00F174EB" w:rsidRDefault="00F174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FINA Giovanni </w:t>
            </w:r>
          </w:p>
        </w:tc>
        <w:tc>
          <w:tcPr>
            <w:tcW w:w="2048" w:type="dxa"/>
            <w:gridSpan w:val="2"/>
          </w:tcPr>
          <w:p w:rsidR="00F174EB" w:rsidRDefault="00F174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Vice Presidente </w:t>
            </w:r>
          </w:p>
        </w:tc>
        <w:tc>
          <w:tcPr>
            <w:tcW w:w="2048" w:type="dxa"/>
          </w:tcPr>
          <w:p w:rsidR="00F174EB" w:rsidRDefault="00F174EB">
            <w:pPr>
              <w:pStyle w:val="Default"/>
            </w:pPr>
            <w:r>
              <w:t xml:space="preserve">X </w:t>
            </w:r>
          </w:p>
        </w:tc>
      </w:tr>
      <w:tr w:rsidR="00F174E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048" w:type="dxa"/>
          </w:tcPr>
          <w:p w:rsidR="00F174EB" w:rsidRDefault="00F174EB">
            <w:pPr>
              <w:pStyle w:val="Default"/>
              <w:rPr>
                <w:color w:val="auto"/>
              </w:rPr>
            </w:pPr>
          </w:p>
          <w:p w:rsidR="00F174EB" w:rsidRDefault="00F174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  <w:p w:rsidR="00F174EB" w:rsidRDefault="00F174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48" w:type="dxa"/>
            <w:gridSpan w:val="2"/>
          </w:tcPr>
          <w:p w:rsidR="00F174EB" w:rsidRDefault="00F174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FORNIGLIA Roberto </w:t>
            </w:r>
          </w:p>
        </w:tc>
        <w:tc>
          <w:tcPr>
            <w:tcW w:w="2048" w:type="dxa"/>
            <w:gridSpan w:val="2"/>
          </w:tcPr>
          <w:p w:rsidR="00F174EB" w:rsidRDefault="00F174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Assessore </w:t>
            </w:r>
          </w:p>
        </w:tc>
        <w:tc>
          <w:tcPr>
            <w:tcW w:w="2048" w:type="dxa"/>
          </w:tcPr>
          <w:p w:rsidR="00F174EB" w:rsidRDefault="00F174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X </w:t>
            </w:r>
          </w:p>
        </w:tc>
      </w:tr>
      <w:tr w:rsidR="00F174E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048" w:type="dxa"/>
          </w:tcPr>
          <w:p w:rsidR="00F174EB" w:rsidRDefault="00F174EB">
            <w:pPr>
              <w:pStyle w:val="Default"/>
              <w:rPr>
                <w:color w:val="auto"/>
              </w:rPr>
            </w:pPr>
          </w:p>
          <w:p w:rsidR="00F174EB" w:rsidRDefault="00F174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  <w:p w:rsidR="00F174EB" w:rsidRDefault="00F174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48" w:type="dxa"/>
            <w:gridSpan w:val="2"/>
          </w:tcPr>
          <w:p w:rsidR="00F174EB" w:rsidRDefault="00F174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MENZIO Giovanni </w:t>
            </w:r>
          </w:p>
        </w:tc>
        <w:tc>
          <w:tcPr>
            <w:tcW w:w="2048" w:type="dxa"/>
            <w:gridSpan w:val="2"/>
          </w:tcPr>
          <w:p w:rsidR="00F174EB" w:rsidRDefault="00F174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Assessore </w:t>
            </w:r>
          </w:p>
        </w:tc>
        <w:tc>
          <w:tcPr>
            <w:tcW w:w="2048" w:type="dxa"/>
          </w:tcPr>
          <w:p w:rsidR="00F174EB" w:rsidRDefault="00F174EB">
            <w:pPr>
              <w:pStyle w:val="Default"/>
            </w:pPr>
            <w:r>
              <w:t xml:space="preserve">X </w:t>
            </w:r>
          </w:p>
        </w:tc>
      </w:tr>
      <w:tr w:rsidR="00F174E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048" w:type="dxa"/>
          </w:tcPr>
          <w:p w:rsidR="00F174EB" w:rsidRDefault="00F174EB">
            <w:pPr>
              <w:pStyle w:val="Default"/>
              <w:rPr>
                <w:color w:val="auto"/>
              </w:rPr>
            </w:pPr>
          </w:p>
          <w:p w:rsidR="00F174EB" w:rsidRDefault="00F174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  <w:p w:rsidR="00F174EB" w:rsidRDefault="00F174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48" w:type="dxa"/>
            <w:gridSpan w:val="2"/>
          </w:tcPr>
          <w:p w:rsidR="00F174EB" w:rsidRDefault="00F174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MUNARI Mario </w:t>
            </w:r>
          </w:p>
        </w:tc>
        <w:tc>
          <w:tcPr>
            <w:tcW w:w="2048" w:type="dxa"/>
            <w:gridSpan w:val="2"/>
          </w:tcPr>
          <w:p w:rsidR="00F174EB" w:rsidRDefault="00F174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Assessore </w:t>
            </w:r>
          </w:p>
        </w:tc>
        <w:tc>
          <w:tcPr>
            <w:tcW w:w="2048" w:type="dxa"/>
          </w:tcPr>
          <w:p w:rsidR="00F174EB" w:rsidRDefault="00F174EB">
            <w:pPr>
              <w:pStyle w:val="Default"/>
            </w:pPr>
            <w:r>
              <w:t xml:space="preserve">X </w:t>
            </w:r>
          </w:p>
        </w:tc>
      </w:tr>
      <w:tr w:rsidR="00F174E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731" w:type="dxa"/>
            <w:gridSpan w:val="2"/>
          </w:tcPr>
          <w:p w:rsidR="00F174EB" w:rsidRDefault="00F174EB">
            <w:pPr>
              <w:pStyle w:val="Default"/>
            </w:pPr>
            <w:r>
              <w:t>Total</w:t>
            </w:r>
            <w:r>
              <w:t xml:space="preserve"> </w:t>
            </w:r>
          </w:p>
        </w:tc>
        <w:tc>
          <w:tcPr>
            <w:tcW w:w="2731" w:type="dxa"/>
            <w:gridSpan w:val="2"/>
          </w:tcPr>
          <w:p w:rsidR="00F174EB" w:rsidRDefault="00F174EB">
            <w:pPr>
              <w:pStyle w:val="Default"/>
            </w:pPr>
            <w:r>
              <w:t xml:space="preserve">4 </w:t>
            </w:r>
          </w:p>
        </w:tc>
        <w:tc>
          <w:tcPr>
            <w:tcW w:w="2731" w:type="dxa"/>
            <w:gridSpan w:val="2"/>
          </w:tcPr>
          <w:p w:rsidR="00F174EB" w:rsidRDefault="00F174E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 </w:t>
            </w:r>
          </w:p>
        </w:tc>
      </w:tr>
    </w:tbl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doncas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nombre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legal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Amb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la presa en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F174EB">
        <w:rPr>
          <w:rFonts w:ascii="Times New Roman" w:hAnsi="Times New Roman" w:cs="Times New Roman"/>
          <w:color w:val="000000"/>
          <w:sz w:val="24"/>
          <w:szCs w:val="24"/>
        </w:rPr>
        <w:t>arga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aquesta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sesilha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Secretari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Comuna de Rossana PARA Monica. 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Lo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senhor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DOVETTA Silvano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qualitat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President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assumís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Presidéncia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reconeissent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legal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nombre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presents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declara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dubèrta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sesilha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per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discussion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de l'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objècte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susmenscionat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F174EB" w:rsidRPr="00F174EB" w:rsidRDefault="00F174EB" w:rsidP="00F174E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lastRenderedPageBreak/>
        <w:t>LA JONTA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Considerat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que: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durant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lhi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darrièrs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ans,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diferents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Ents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entre los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quals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en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partic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ular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Comunautat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Montana Val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Varacha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fins a 2009,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puèi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Comunautat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Montana Valli del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Monviso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e fin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finala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BIM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Varacha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l’Union Montana an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promogut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valorizacion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ret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camins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ituats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territòri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Val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Varacha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amb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collaboracion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tanben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subjèctes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privats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operant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sector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excursionisme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torisme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sostenible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gram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en</w:t>
      </w:r>
      <w:proofErr w:type="gram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particular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, l’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Associacion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Valle Varaita Trekking,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amb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impuls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Comunautat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Montana Valli del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Monviso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l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puèi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Consortium BIM de Varaita,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aviá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contribuit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publicacion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d'un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opuscul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en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tres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lengas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que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descriu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camin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excursionista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val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comprenent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12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etapas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nomenat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Valle Varaita Trekking,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recentament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revisat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integrat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republicat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per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aquela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Union;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7 d'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abriu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2017,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foguèt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signat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còrdi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per los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cònsols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Blins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Pont 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Chanal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</w:t>
      </w:r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hastelda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lfin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, Sa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n</w:t>
      </w:r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 </w:t>
      </w:r>
      <w:proofErr w:type="spellStart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Pei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re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, Fraise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Mèl,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V</w:t>
      </w:r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ermala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Brossasc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Venasc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h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Isasc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ha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Rossana,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asc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Costi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lhòlas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Salu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ces,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Verzòl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Busc</w:t>
      </w:r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h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, Manta, Saluces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per l'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enregistrament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valorizacion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Itinerari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nomenat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Valle Varaita Trekking ai sens de la L.R. n. 12/2010 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reglament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aplicacion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9R del 16/11/2011; l'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acòrdi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entre los autres instaura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"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Coordinament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entre los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Ents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per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valorizacion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itinerari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Valle Varaita Trekking" 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sanciona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engatjament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dei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comunas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contraròtle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circulabilitat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a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mantenença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ordinària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traçat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l’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Associacion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Valle Varaita Trekking,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constituida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en 2013 e que compta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prèp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80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sòcis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(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afogats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comerçants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operators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sector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toristic-receptiu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associacions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territòri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 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manifestat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disponibilitat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una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forma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collaboracion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per la gestion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camin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excursionista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val que s'articula en 12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etapas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4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variantas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(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Busc</w:t>
      </w:r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h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Peasc</w:t>
      </w:r>
      <w:proofErr w:type="spellEnd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, Saluces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Villar de S</w:t>
      </w:r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ant </w:t>
      </w:r>
      <w:proofErr w:type="spellStart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Peire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amb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passatge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totes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los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comunas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de la Val </w:t>
      </w:r>
      <w:proofErr w:type="spellStart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Varacha</w:t>
      </w:r>
      <w:proofErr w:type="spellEnd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, mai Manta e Saluces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per un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desvolopament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total de mai de 220 km;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proofErr w:type="gram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fin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garantir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melhora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qualitat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seguretat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frequenta</w:t>
      </w:r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cion</w:t>
      </w:r>
      <w:proofErr w:type="spellEnd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dei </w:t>
      </w:r>
      <w:proofErr w:type="spellStart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camins</w:t>
      </w:r>
      <w:proofErr w:type="spellEnd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montanha</w:t>
      </w:r>
      <w:proofErr w:type="spellEnd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lhi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viols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devon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èsser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mantenguts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en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perfectas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condicions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fruibilitat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en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çò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que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concernís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plan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calpestatge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las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relativas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dependéncias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gram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estat</w:t>
      </w:r>
      <w:proofErr w:type="spellEnd"/>
      <w:proofErr w:type="gram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circulabilitat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dei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camins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montanha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necessita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intervencions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continúas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seguiment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mantenença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causa dei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damatges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provocats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per d'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eveniments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atmosferics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passatge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animals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esglasiaments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, vandalismes, etc.;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proofErr w:type="gram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fin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garantir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durabilitat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continuitat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dei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intervencions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restauracion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mantenença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efectuadas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los ans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precedents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atal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coma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qualitat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seguretat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circulabilitat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dei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camins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susmenscionats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es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necessari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proveire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identificar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subjècte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responsable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seguiment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de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mantenença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ordinària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camin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meteis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dei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sieunas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immediatas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dependéncias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amb</w:t>
      </w:r>
      <w:proofErr w:type="spellEnd"/>
      <w:proofErr w:type="gram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sei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pròprias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deliberacions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precedentas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n. 30 del 28/03/2018 e n. 55 del 27/07/2021,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foguèron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aprovadas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borras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convencion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signar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amb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l’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Associacion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Valle Varaita Trekking per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seguiment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mantenença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condicions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optimas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per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fruibilitat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camin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excursionista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Valle Varaita Trekking (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prèp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220 km) que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tòca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en 12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etapas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4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variantas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(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Busc</w:t>
      </w:r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h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Peasc</w:t>
      </w:r>
      <w:proofErr w:type="spellEnd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Saluces e Villar de Sant </w:t>
      </w:r>
      <w:proofErr w:type="spellStart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Pei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re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totes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los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</w:t>
      </w:r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munas</w:t>
      </w:r>
      <w:proofErr w:type="spellEnd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Val </w:t>
      </w:r>
      <w:proofErr w:type="spellStart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Varacha</w:t>
      </w:r>
      <w:proofErr w:type="spellEnd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, mai Manta e Saluces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);</w:t>
      </w:r>
    </w:p>
    <w:p w:rsidR="00F174EB" w:rsidRPr="00F174EB" w:rsidRDefault="00BF2A50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mesme</w:t>
      </w:r>
      <w:proofErr w:type="spellEnd"/>
      <w:r w:rsidR="00F174EB"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74EB" w:rsidRPr="00F174EB">
        <w:rPr>
          <w:rFonts w:ascii="Times New Roman" w:hAnsi="Times New Roman" w:cs="Times New Roman"/>
          <w:color w:val="000000"/>
          <w:sz w:val="24"/>
          <w:szCs w:val="24"/>
        </w:rPr>
        <w:t>jorn</w:t>
      </w:r>
      <w:proofErr w:type="spellEnd"/>
      <w:r w:rsidR="00F174EB"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, 27/07/2021, </w:t>
      </w:r>
      <w:proofErr w:type="spellStart"/>
      <w:r w:rsidR="00F174EB" w:rsidRPr="00F174EB">
        <w:rPr>
          <w:rFonts w:ascii="Times New Roman" w:hAnsi="Times New Roman" w:cs="Times New Roman"/>
          <w:color w:val="000000"/>
          <w:sz w:val="24"/>
          <w:szCs w:val="24"/>
        </w:rPr>
        <w:t>foguèt</w:t>
      </w:r>
      <w:proofErr w:type="spellEnd"/>
      <w:r w:rsidR="00F174EB"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74EB" w:rsidRPr="00F174EB">
        <w:rPr>
          <w:rFonts w:ascii="Times New Roman" w:hAnsi="Times New Roman" w:cs="Times New Roman"/>
          <w:color w:val="000000"/>
          <w:sz w:val="24"/>
          <w:szCs w:val="24"/>
        </w:rPr>
        <w:t>signada</w:t>
      </w:r>
      <w:proofErr w:type="spellEnd"/>
      <w:r w:rsidR="00F174EB"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F174EB" w:rsidRPr="00F174EB">
        <w:rPr>
          <w:rFonts w:ascii="Times New Roman" w:hAnsi="Times New Roman" w:cs="Times New Roman"/>
          <w:color w:val="000000"/>
          <w:sz w:val="24"/>
          <w:szCs w:val="24"/>
        </w:rPr>
        <w:t>convencion</w:t>
      </w:r>
      <w:proofErr w:type="spellEnd"/>
      <w:r w:rsidR="00F174EB"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74EB" w:rsidRPr="00F174EB">
        <w:rPr>
          <w:rFonts w:ascii="Times New Roman" w:hAnsi="Times New Roman" w:cs="Times New Roman"/>
          <w:color w:val="000000"/>
          <w:sz w:val="24"/>
          <w:szCs w:val="24"/>
        </w:rPr>
        <w:t>amb</w:t>
      </w:r>
      <w:proofErr w:type="spellEnd"/>
      <w:r w:rsidR="00F174EB"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74EB" w:rsidRPr="00F174EB">
        <w:rPr>
          <w:rFonts w:ascii="Times New Roman" w:hAnsi="Times New Roman" w:cs="Times New Roman"/>
          <w:color w:val="000000"/>
          <w:sz w:val="24"/>
          <w:szCs w:val="24"/>
        </w:rPr>
        <w:t>escadença</w:t>
      </w:r>
      <w:proofErr w:type="spellEnd"/>
      <w:r w:rsidR="00F174EB"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al 31/12/2023;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Donat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l’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Associacion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Valle Varaita Trekking 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provesit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tanben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lo trienni</w:t>
      </w:r>
      <w:proofErr w:type="gram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2021-2022-2023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amb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succès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mantenença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ordinària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traçat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atal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coma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demandat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per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suscitada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convencion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, 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doncas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resulta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opòrtun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de renovar l'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encarg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fins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al 31/12/2026;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Estimat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plena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fruibilitat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dei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camins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concernits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las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etapas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e 4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variantas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Valle Varaita Trekking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constituís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element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important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gestion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toristica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e economica de tot lo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territòri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varaitin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segon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çò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indicat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convencion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annexada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a la presenta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coma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part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integranta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substanciala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Vist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lo D. Lgs.18/08/2000 n.267;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Obtengut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vejaire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favorable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Responsable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de l'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Àrea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Tecnico-manutentiva en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çò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concernís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regularitat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tecnica ai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sens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de l'art. 49, comma 1,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Decreto Legislativo 267/2000,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atal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coma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remplaçat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per l’art. 3 comma 1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lett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. b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D.L. 10/10/2012 n. 174;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Obtengut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vejaire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favorable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Secretari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f.f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en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çò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que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concernís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legitimitat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ai sens de l'art. </w:t>
      </w:r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49, comma 1,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Decreto Legislativo 267/2000,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atal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coma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remplaçat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per l’art. 3 comma 1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lett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. b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D.L. 10/10/2012 n. 174;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Obtengut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vejaire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favorable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Responsable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de l'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Àrea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Economico-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Financiària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çò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concernís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regularitat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comptabla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, ai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sens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de l’art. 49, comma 1,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Decreto Legislativo 267/2000,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atal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coma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remplaçat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per l’art. 3 comma 1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lett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. b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D.L. 10/10/2012 n. 174;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 l'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unanimitat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dei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vòtes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favorables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exprimits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las formas de lei,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F174EB" w:rsidRPr="00BF2A50" w:rsidRDefault="00BF2A50" w:rsidP="00BF2A5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proofErr w:type="gramStart"/>
      <w:r w:rsidRPr="00BF2A50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delibèra</w:t>
      </w:r>
      <w:proofErr w:type="spellEnd"/>
      <w:proofErr w:type="gramEnd"/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1) D'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aprovar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borra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convencion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signar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amb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l’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Associacion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Valle Varaita Trekking per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seguiment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mantenença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fins al 31/12/2026 de las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condicions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optimas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per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fruibilitat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dau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camin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excursionista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Valle Varaita Trekking (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prèp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220 km) que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tòca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en 12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etapas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4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variantas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(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Busc</w:t>
      </w:r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h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Peasc</w:t>
      </w:r>
      <w:proofErr w:type="spellEnd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, Saluces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Villar de Sa</w:t>
      </w:r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nt </w:t>
      </w:r>
      <w:proofErr w:type="spellStart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Peire</w:t>
      </w:r>
      <w:proofErr w:type="spellEnd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 </w:t>
      </w:r>
      <w:proofErr w:type="spellStart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totes</w:t>
      </w:r>
      <w:proofErr w:type="spellEnd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los </w:t>
      </w:r>
      <w:proofErr w:type="spellStart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comunas</w:t>
      </w:r>
      <w:proofErr w:type="spellEnd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Val </w:t>
      </w:r>
      <w:proofErr w:type="spellStart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Varacha</w:t>
      </w:r>
      <w:proofErr w:type="spellEnd"/>
      <w:r w:rsidR="00BF2A50">
        <w:rPr>
          <w:rFonts w:ascii="Times New Roman" w:hAnsi="Times New Roman" w:cs="Times New Roman"/>
          <w:color w:val="000000"/>
          <w:sz w:val="24"/>
          <w:szCs w:val="24"/>
          <w:lang w:val="fr-FR"/>
        </w:rPr>
        <w:t>, mai Manta e Saluces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tèxte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que s'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annèxa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present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mesura per ne faire part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integranta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substanciala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2) D'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encargar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Secretari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Dòna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Monica Para, de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signatura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convencion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, l'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autorizant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comptar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d'ara a i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portar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modificacions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caractèr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non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substancial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que se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farián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necessàrias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3) D'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engatjar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-se 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reservar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lo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budget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prevision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dei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exercicis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financièrs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concernits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las somas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relativas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ai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intervencions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financièrs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destinar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l’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Associacion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Valle Varaita Trekking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signatària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convencion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en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contraprestacion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las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activitats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efectuadas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4) De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declarar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amb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una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ulteriora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votacion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e a l'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unanimitat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dei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vòtes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exprimits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dins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las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formas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de lei la presenta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deliberacion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immediatament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executabla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Legit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confirmat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signat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74EB">
        <w:rPr>
          <w:rFonts w:ascii="Times New Roman" w:hAnsi="Times New Roman" w:cs="Times New Roman"/>
          <w:color w:val="000000"/>
          <w:sz w:val="24"/>
          <w:szCs w:val="24"/>
        </w:rPr>
        <w:t>**LO PRESIDENT**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Signat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electronicament</w:t>
      </w:r>
      <w:proofErr w:type="spellEnd"/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F174EB" w:rsidRPr="00F174EB" w:rsidRDefault="00066DC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**LO SECRETARI FAÇENT FON</w:t>
      </w:r>
      <w:r w:rsidR="00F174EB"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CIONS**</w:t>
      </w:r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Signat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electronicament</w:t>
      </w:r>
      <w:proofErr w:type="spellEnd"/>
    </w:p>
    <w:p w:rsidR="00F174EB" w:rsidRPr="00F174EB" w:rsidRDefault="00F174EB" w:rsidP="00F174E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9F3291" w:rsidRPr="00F174EB" w:rsidRDefault="00F174EB" w:rsidP="00F174EB">
      <w:r w:rsidRPr="00F174EB">
        <w:rPr>
          <w:rFonts w:ascii="Times New Roman" w:hAnsi="Times New Roman" w:cs="Times New Roman"/>
          <w:color w:val="000000"/>
          <w:sz w:val="24"/>
          <w:szCs w:val="24"/>
        </w:rPr>
        <w:t>---</w:t>
      </w:r>
    </w:p>
    <w:sectPr w:rsidR="009F3291" w:rsidRPr="00F17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91"/>
    <w:rsid w:val="00066DCB"/>
    <w:rsid w:val="007761FD"/>
    <w:rsid w:val="009F3291"/>
    <w:rsid w:val="00BF2A50"/>
    <w:rsid w:val="00F1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01C1"/>
  <w15:chartTrackingRefBased/>
  <w15:docId w15:val="{FFF8DC03-BA32-4204-A573-774B5E3E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F32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Gallian</dc:creator>
  <cp:keywords/>
  <dc:description/>
  <cp:lastModifiedBy>Tiziana Gallian</cp:lastModifiedBy>
  <cp:revision>1</cp:revision>
  <dcterms:created xsi:type="dcterms:W3CDTF">2024-08-05T11:32:00Z</dcterms:created>
  <dcterms:modified xsi:type="dcterms:W3CDTF">2024-08-05T12:50:00Z</dcterms:modified>
</cp:coreProperties>
</file>